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D48C" w14:textId="77777777" w:rsidR="003B3F92" w:rsidRDefault="003B3F92" w:rsidP="003B3F92">
      <w:pPr>
        <w:pStyle w:val="Heading1"/>
      </w:pPr>
      <w:r>
        <w:t xml:space="preserve">FISE TEHNICE ECHIPAMENTE </w:t>
      </w:r>
    </w:p>
    <w:p w14:paraId="03E1AA52" w14:textId="77777777" w:rsidR="003B3F92" w:rsidRDefault="003B3F92" w:rsidP="003B3F92">
      <w:pPr>
        <w:pStyle w:val="Heading2"/>
        <w:jc w:val="center"/>
        <w:rPr>
          <w:rFonts w:cstheme="minorHAnsi"/>
          <w:szCs w:val="24"/>
        </w:rPr>
      </w:pPr>
    </w:p>
    <w:p w14:paraId="276ECE19" w14:textId="77777777" w:rsidR="003B3F92" w:rsidRDefault="003B3F92" w:rsidP="003B3F92">
      <w:pPr>
        <w:spacing w:after="0" w:line="240" w:lineRule="auto"/>
        <w:rPr>
          <w:rFonts w:cstheme="minorHAnsi"/>
          <w:b/>
          <w:sz w:val="24"/>
          <w:szCs w:val="24"/>
          <w:lang w:val="ro-RO"/>
        </w:rPr>
      </w:pPr>
    </w:p>
    <w:p w14:paraId="5ADD936E" w14:textId="102AF3BA" w:rsidR="003B3F92" w:rsidRDefault="003B3F92" w:rsidP="007C6291">
      <w:pPr>
        <w:rPr>
          <w:rFonts w:cstheme="minorHAnsi"/>
          <w:b/>
          <w:color w:val="FF0000"/>
          <w:sz w:val="24"/>
          <w:szCs w:val="24"/>
          <w:lang w:val="ro-RO"/>
        </w:rPr>
      </w:pPr>
      <w:r>
        <w:rPr>
          <w:rFonts w:cstheme="minorHAnsi"/>
          <w:b/>
          <w:sz w:val="24"/>
          <w:szCs w:val="24"/>
          <w:lang w:val="ro-RO"/>
        </w:rPr>
        <w:t xml:space="preserve">Denumire: </w:t>
      </w:r>
      <w:r w:rsidR="00460A35">
        <w:rPr>
          <w:rFonts w:eastAsia="Times New Roman" w:cstheme="minorHAnsi"/>
          <w:color w:val="000000"/>
          <w:lang w:val="ro-RO"/>
        </w:rPr>
        <w:t>Sistem automat de antibiograma</w:t>
      </w:r>
    </w:p>
    <w:tbl>
      <w:tblPr>
        <w:tblW w:w="5421" w:type="pct"/>
        <w:tblCellMar>
          <w:left w:w="28" w:type="dxa"/>
          <w:right w:w="28" w:type="dxa"/>
        </w:tblCellMar>
        <w:tblLook w:val="04A0" w:firstRow="1" w:lastRow="0" w:firstColumn="1" w:lastColumn="0" w:noHBand="0" w:noVBand="1"/>
      </w:tblPr>
      <w:tblGrid>
        <w:gridCol w:w="383"/>
        <w:gridCol w:w="9392"/>
      </w:tblGrid>
      <w:tr w:rsidR="003B3F92" w14:paraId="57733FF0" w14:textId="77777777" w:rsidTr="003B3F92">
        <w:tc>
          <w:tcPr>
            <w:tcW w:w="196" w:type="pct"/>
            <w:tcBorders>
              <w:top w:val="single" w:sz="4" w:space="0" w:color="auto"/>
              <w:left w:val="single" w:sz="4" w:space="0" w:color="auto"/>
              <w:bottom w:val="single" w:sz="4" w:space="0" w:color="auto"/>
              <w:right w:val="single" w:sz="4" w:space="0" w:color="auto"/>
            </w:tcBorders>
            <w:vAlign w:val="center"/>
            <w:hideMark/>
          </w:tcPr>
          <w:p w14:paraId="016DB7EF" w14:textId="77777777" w:rsidR="003B3F92" w:rsidRDefault="003B3F92">
            <w:pPr>
              <w:snapToGrid w:val="0"/>
              <w:spacing w:after="0" w:line="240" w:lineRule="auto"/>
              <w:jc w:val="center"/>
              <w:rPr>
                <w:rFonts w:cstheme="minorHAnsi"/>
                <w:sz w:val="24"/>
                <w:szCs w:val="24"/>
                <w:lang w:val="ro-RO"/>
              </w:rPr>
            </w:pPr>
            <w:r>
              <w:rPr>
                <w:rFonts w:cstheme="minorHAnsi"/>
                <w:sz w:val="24"/>
                <w:szCs w:val="24"/>
                <w:lang w:val="ro-RO"/>
              </w:rPr>
              <w:t>Nr. crt.</w:t>
            </w:r>
          </w:p>
        </w:tc>
        <w:tc>
          <w:tcPr>
            <w:tcW w:w="4804" w:type="pct"/>
            <w:tcBorders>
              <w:top w:val="single" w:sz="4" w:space="0" w:color="auto"/>
              <w:left w:val="single" w:sz="4" w:space="0" w:color="auto"/>
              <w:bottom w:val="single" w:sz="4" w:space="0" w:color="auto"/>
              <w:right w:val="single" w:sz="4" w:space="0" w:color="auto"/>
            </w:tcBorders>
            <w:vAlign w:val="center"/>
            <w:hideMark/>
          </w:tcPr>
          <w:p w14:paraId="6935FE8C" w14:textId="77777777" w:rsidR="003B3F92" w:rsidRDefault="003B3F92">
            <w:pPr>
              <w:snapToGrid w:val="0"/>
              <w:spacing w:after="0" w:line="240" w:lineRule="auto"/>
              <w:jc w:val="center"/>
              <w:rPr>
                <w:rFonts w:cstheme="minorHAnsi"/>
                <w:b/>
                <w:bCs/>
                <w:sz w:val="24"/>
                <w:szCs w:val="24"/>
                <w:lang w:val="ro-RO"/>
              </w:rPr>
            </w:pPr>
            <w:r>
              <w:rPr>
                <w:rFonts w:cstheme="minorHAnsi"/>
                <w:b/>
                <w:bCs/>
                <w:sz w:val="24"/>
                <w:szCs w:val="24"/>
                <w:lang w:val="ro-RO"/>
              </w:rPr>
              <w:t xml:space="preserve">Specificaţiile tehnice impuse </w:t>
            </w:r>
          </w:p>
        </w:tc>
      </w:tr>
      <w:tr w:rsidR="003B3F92" w14:paraId="2D0E9738" w14:textId="77777777" w:rsidTr="003B3F92">
        <w:tc>
          <w:tcPr>
            <w:tcW w:w="196" w:type="pct"/>
            <w:tcBorders>
              <w:top w:val="single" w:sz="4" w:space="0" w:color="auto"/>
              <w:left w:val="single" w:sz="4" w:space="0" w:color="auto"/>
              <w:bottom w:val="single" w:sz="4" w:space="0" w:color="auto"/>
              <w:right w:val="single" w:sz="4" w:space="0" w:color="auto"/>
            </w:tcBorders>
            <w:vAlign w:val="center"/>
            <w:hideMark/>
          </w:tcPr>
          <w:p w14:paraId="7B68C1E3" w14:textId="77777777" w:rsidR="003B3F92" w:rsidRDefault="003B3F92">
            <w:pPr>
              <w:snapToGrid w:val="0"/>
              <w:spacing w:after="0" w:line="240" w:lineRule="auto"/>
              <w:jc w:val="center"/>
              <w:rPr>
                <w:rFonts w:cstheme="minorHAnsi"/>
                <w:sz w:val="24"/>
                <w:szCs w:val="24"/>
                <w:lang w:val="ro-RO"/>
              </w:rPr>
            </w:pPr>
            <w:r>
              <w:rPr>
                <w:rFonts w:cstheme="minorHAnsi"/>
                <w:sz w:val="24"/>
                <w:szCs w:val="24"/>
                <w:lang w:val="ro-RO"/>
              </w:rPr>
              <w:t>0</w:t>
            </w:r>
          </w:p>
        </w:tc>
        <w:tc>
          <w:tcPr>
            <w:tcW w:w="4804" w:type="pct"/>
            <w:tcBorders>
              <w:top w:val="single" w:sz="4" w:space="0" w:color="auto"/>
              <w:left w:val="single" w:sz="4" w:space="0" w:color="auto"/>
              <w:bottom w:val="single" w:sz="4" w:space="0" w:color="auto"/>
              <w:right w:val="single" w:sz="4" w:space="0" w:color="auto"/>
            </w:tcBorders>
            <w:vAlign w:val="center"/>
            <w:hideMark/>
          </w:tcPr>
          <w:p w14:paraId="7CE30A49" w14:textId="77777777" w:rsidR="003B3F92" w:rsidRDefault="003B3F92">
            <w:pPr>
              <w:snapToGrid w:val="0"/>
              <w:spacing w:after="0" w:line="240" w:lineRule="auto"/>
              <w:jc w:val="center"/>
              <w:rPr>
                <w:rFonts w:cstheme="minorHAnsi"/>
                <w:b/>
                <w:sz w:val="24"/>
                <w:szCs w:val="24"/>
                <w:u w:val="single"/>
                <w:lang w:val="ro-RO"/>
              </w:rPr>
            </w:pPr>
            <w:r>
              <w:rPr>
                <w:rFonts w:cstheme="minorHAnsi"/>
                <w:b/>
                <w:sz w:val="24"/>
                <w:szCs w:val="24"/>
                <w:u w:val="single"/>
                <w:lang w:val="ro-RO"/>
              </w:rPr>
              <w:t>1</w:t>
            </w:r>
          </w:p>
        </w:tc>
      </w:tr>
      <w:tr w:rsidR="003B3F92" w:rsidRPr="000B0054" w14:paraId="418C2116" w14:textId="77777777" w:rsidTr="003B3F92">
        <w:trPr>
          <w:trHeight w:val="1433"/>
        </w:trPr>
        <w:tc>
          <w:tcPr>
            <w:tcW w:w="196" w:type="pct"/>
            <w:tcBorders>
              <w:top w:val="single" w:sz="4" w:space="0" w:color="auto"/>
              <w:left w:val="single" w:sz="4" w:space="0" w:color="auto"/>
              <w:bottom w:val="single" w:sz="4" w:space="0" w:color="auto"/>
              <w:right w:val="single" w:sz="4" w:space="0" w:color="auto"/>
            </w:tcBorders>
            <w:hideMark/>
          </w:tcPr>
          <w:p w14:paraId="23CC0D32" w14:textId="77777777" w:rsidR="003B3F92" w:rsidRDefault="003B3F92">
            <w:pPr>
              <w:snapToGrid w:val="0"/>
              <w:spacing w:after="0" w:line="240" w:lineRule="auto"/>
              <w:jc w:val="center"/>
              <w:rPr>
                <w:rFonts w:cstheme="minorHAnsi"/>
                <w:color w:val="FF0000"/>
                <w:sz w:val="24"/>
                <w:szCs w:val="24"/>
                <w:lang w:val="ro-RO"/>
              </w:rPr>
            </w:pPr>
            <w:r>
              <w:rPr>
                <w:rFonts w:cstheme="minorHAnsi"/>
                <w:sz w:val="24"/>
                <w:szCs w:val="24"/>
                <w:lang w:val="ro-RO"/>
              </w:rPr>
              <w:t>1.</w:t>
            </w:r>
          </w:p>
        </w:tc>
        <w:tc>
          <w:tcPr>
            <w:tcW w:w="4804" w:type="pct"/>
            <w:tcBorders>
              <w:top w:val="single" w:sz="4" w:space="0" w:color="auto"/>
              <w:left w:val="single" w:sz="4" w:space="0" w:color="auto"/>
              <w:bottom w:val="single" w:sz="4" w:space="0" w:color="auto"/>
              <w:right w:val="single" w:sz="4" w:space="0" w:color="auto"/>
            </w:tcBorders>
          </w:tcPr>
          <w:p w14:paraId="66230670" w14:textId="77777777" w:rsidR="003B3F92" w:rsidRDefault="003B3F92">
            <w:pPr>
              <w:spacing w:after="0" w:line="240" w:lineRule="auto"/>
              <w:rPr>
                <w:rFonts w:cstheme="minorHAnsi"/>
                <w:b/>
                <w:sz w:val="24"/>
                <w:szCs w:val="24"/>
                <w:u w:val="single"/>
                <w:lang w:val="ro-RO"/>
              </w:rPr>
            </w:pPr>
            <w:r>
              <w:rPr>
                <w:rFonts w:cstheme="minorHAnsi"/>
                <w:b/>
                <w:sz w:val="24"/>
                <w:szCs w:val="24"/>
                <w:u w:val="single"/>
                <w:lang w:val="ro-RO"/>
              </w:rPr>
              <w:t>Parametrii tehnici şi funcţionali:</w:t>
            </w:r>
          </w:p>
          <w:p w14:paraId="333AC3B3" w14:textId="7EB7C0E0" w:rsidR="00460A35" w:rsidRPr="000B0054" w:rsidRDefault="00460A35" w:rsidP="00460A35">
            <w:pPr>
              <w:rPr>
                <w:lang w:val="it-IT"/>
              </w:rPr>
            </w:pPr>
            <w:r w:rsidRPr="000B0054">
              <w:rPr>
                <w:lang w:val="it-IT"/>
              </w:rPr>
              <w:t>1. Permite determinarea concentratiei minime inhibitorii pentru bacteriile testate prin microfluidica.</w:t>
            </w:r>
          </w:p>
          <w:p w14:paraId="70728417" w14:textId="23FC381A" w:rsidR="00460A35" w:rsidRPr="000B0054" w:rsidRDefault="00460A35" w:rsidP="00460A35">
            <w:pPr>
              <w:rPr>
                <w:lang w:val="it-IT"/>
              </w:rPr>
            </w:pPr>
            <w:r w:rsidRPr="000B0054">
              <w:rPr>
                <w:lang w:val="it-IT"/>
              </w:rPr>
              <w:t>2. Foloseste paneluri care permite testarea unei game largi de antibiotice in dilutii seriate cu cel putin 640 de godeuri. Panelurile pot efectua testarea a 30-60</w:t>
            </w:r>
            <w:r w:rsidRPr="000B0054">
              <w:rPr>
                <w:color w:val="FF0000"/>
                <w:lang w:val="it-IT"/>
              </w:rPr>
              <w:t xml:space="preserve"> </w:t>
            </w:r>
            <w:r w:rsidRPr="000B0054">
              <w:rPr>
                <w:lang w:val="it-IT"/>
              </w:rPr>
              <w:t>de antibiotice simultan.</w:t>
            </w:r>
          </w:p>
          <w:p w14:paraId="74424CEE" w14:textId="060E0A55" w:rsidR="00460A35" w:rsidRPr="000B0054" w:rsidRDefault="00460A35" w:rsidP="00460A35">
            <w:pPr>
              <w:rPr>
                <w:lang w:val="it-IT"/>
              </w:rPr>
            </w:pPr>
            <w:r w:rsidRPr="000B0054">
              <w:rPr>
                <w:lang w:val="it-IT"/>
              </w:rPr>
              <w:t>3. Este insotit de un sistem de umplere al panelurilor compatibil cu analizorul.</w:t>
            </w:r>
          </w:p>
          <w:p w14:paraId="2E8E39ED" w14:textId="4DB02D1A" w:rsidR="00460A35" w:rsidRPr="000B0054" w:rsidRDefault="00460A35" w:rsidP="00460A35">
            <w:pPr>
              <w:rPr>
                <w:lang w:val="it-IT"/>
              </w:rPr>
            </w:pPr>
            <w:r w:rsidRPr="000B0054">
              <w:rPr>
                <w:lang w:val="it-IT"/>
              </w:rPr>
              <w:t>4. Permite incubarea si testarea automata pentru cel putin 60 de paneluri. Odata introduse in analizor, panelurile sunt verificate timp de 16 ore in mod automat, si mentinute la o temperatura constanta de 35°C +/- 1.</w:t>
            </w:r>
          </w:p>
          <w:p w14:paraId="21510F7E" w14:textId="0EC32953" w:rsidR="00460A35" w:rsidRPr="000B0054" w:rsidRDefault="00460A35" w:rsidP="00460A35">
            <w:pPr>
              <w:rPr>
                <w:lang w:val="it-IT"/>
              </w:rPr>
            </w:pPr>
            <w:r w:rsidRPr="000B0054">
              <w:rPr>
                <w:lang w:val="it-IT"/>
              </w:rPr>
              <w:t>5. Foloseste un sigur tip de panel care permite testarea atat pentru bacterii Gram pozitive, cat si pentru bacterii Gram negative, eliminand nevoia de a necesita diferite consumabile.</w:t>
            </w:r>
          </w:p>
          <w:p w14:paraId="3DCC18CF" w14:textId="752EF52C" w:rsidR="00460A35" w:rsidRPr="000B0054" w:rsidRDefault="00460A35" w:rsidP="00460A35">
            <w:pPr>
              <w:rPr>
                <w:lang w:val="it-IT"/>
              </w:rPr>
            </w:pPr>
            <w:r w:rsidRPr="000B0054">
              <w:rPr>
                <w:lang w:val="it-IT"/>
              </w:rPr>
              <w:t>6. Permite interpretarea rezultatelor conform EUCAST/CLSI ale CMI pentru bacteria testata si permite validarea rezultatelor ca Susceptibil (S), Susceptibil la expunere crescuta (I) sau Rezistent (R). De asemenea, Are posibilitatea exportarii datelor in sistemul informatic al laboratorului.</w:t>
            </w:r>
          </w:p>
          <w:p w14:paraId="59E09457" w14:textId="4D48C8CF" w:rsidR="00460A35" w:rsidRPr="000B0054" w:rsidRDefault="00460A35" w:rsidP="00460A35">
            <w:pPr>
              <w:rPr>
                <w:lang w:val="it-IT"/>
              </w:rPr>
            </w:pPr>
            <w:r w:rsidRPr="000B0054">
              <w:rPr>
                <w:lang w:val="it-IT"/>
              </w:rPr>
              <w:t>7. Panelurile permite testarea la Amikacina, Amoxicilina, Amoxicilina-clavulanat, Ampicilina, Azitromicina, Penicilina, Cefazolin, Cefepim, Cefotaxim, Ceftazidim, Ceftazidim-Avibactam, Ceftriaxon, Cefuroxim, Ciprofloxacin, Claritromicina, Clindamicina, Eritromicina, Gentamicina, Imipenem, Levofloxacin, Linezolid, Meropenem, Moxifloxacin, Nitrofurantoin, Ofloxacina, Oxacilina, Tedizolid, Tobranicina, Trimetoprim, Trimetroprim-Sulfometoxazol si Vancomicina in acelasi panel. De asemenea Permite detectia prezentei betalactamazelor de spectru extins.</w:t>
            </w:r>
          </w:p>
          <w:p w14:paraId="17A7B0F7" w14:textId="11836F18" w:rsidR="00460A35" w:rsidRPr="000B0054" w:rsidRDefault="00460A35" w:rsidP="00460A35">
            <w:pPr>
              <w:rPr>
                <w:lang w:val="it-IT"/>
              </w:rPr>
            </w:pPr>
            <w:r w:rsidRPr="000B0054">
              <w:rPr>
                <w:lang w:val="it-IT"/>
              </w:rPr>
              <w:t>8. Are un flux de lucru usor.</w:t>
            </w:r>
          </w:p>
          <w:p w14:paraId="173CA1AA" w14:textId="3D432E00" w:rsidR="00460A35" w:rsidRPr="000B0054" w:rsidRDefault="00460A35" w:rsidP="00460A35">
            <w:pPr>
              <w:rPr>
                <w:lang w:val="it-IT"/>
              </w:rPr>
            </w:pPr>
            <w:r w:rsidRPr="000B0054">
              <w:rPr>
                <w:lang w:val="it-IT"/>
              </w:rPr>
              <w:t>9. Permite efectuarea controlului de calitate cu tulpini de control in mod automat.</w:t>
            </w:r>
          </w:p>
          <w:p w14:paraId="0C12B780" w14:textId="5D6C69A3" w:rsidR="00460A35" w:rsidRPr="000B0054" w:rsidRDefault="00460A35" w:rsidP="00460A35">
            <w:pPr>
              <w:rPr>
                <w:lang w:val="it-IT"/>
              </w:rPr>
            </w:pPr>
            <w:r w:rsidRPr="000B0054">
              <w:rPr>
                <w:lang w:val="it-IT"/>
              </w:rPr>
              <w:t>10. Permite verificarea rezultatelor din baza de date interna, fara a fi necesar un alt calculator.</w:t>
            </w:r>
          </w:p>
          <w:p w14:paraId="45165A94" w14:textId="221E5731" w:rsidR="00460A35" w:rsidRPr="000B0054" w:rsidRDefault="00460A35" w:rsidP="00460A35">
            <w:pPr>
              <w:rPr>
                <w:lang w:val="it-IT"/>
              </w:rPr>
            </w:pPr>
            <w:r w:rsidRPr="000B0054">
              <w:rPr>
                <w:lang w:val="it-IT"/>
              </w:rPr>
              <w:t>11. Echipamentul Are dimensiuni reduse, de aproximativ 85x85x60 cm, si o greutate de maxima</w:t>
            </w:r>
            <w:r w:rsidRPr="000B0054">
              <w:rPr>
                <w:color w:val="FF0000"/>
                <w:lang w:val="it-IT"/>
              </w:rPr>
              <w:t xml:space="preserve"> </w:t>
            </w:r>
            <w:r w:rsidRPr="000B0054">
              <w:rPr>
                <w:lang w:val="it-IT"/>
              </w:rPr>
              <w:t>85kg. Are un nivel de zgomot &lt;65 dB. Sistemul de umplere are dimensiuni reduse, de aproximativ 40x55x65 cm, si o greutate maxima de 50kg.</w:t>
            </w:r>
          </w:p>
          <w:p w14:paraId="615629BD" w14:textId="77777777" w:rsidR="003B3F92" w:rsidRDefault="003B3F92" w:rsidP="00BA7610">
            <w:pPr>
              <w:shd w:val="clear" w:color="auto" w:fill="FFFFFF"/>
              <w:spacing w:after="0" w:line="240" w:lineRule="auto"/>
              <w:rPr>
                <w:rFonts w:cstheme="minorHAnsi"/>
                <w:color w:val="FF0000"/>
                <w:sz w:val="24"/>
                <w:szCs w:val="24"/>
                <w:lang w:val="ro-RO"/>
              </w:rPr>
            </w:pPr>
          </w:p>
        </w:tc>
      </w:tr>
    </w:tbl>
    <w:p w14:paraId="5554497C" w14:textId="77777777" w:rsidR="003B3F92" w:rsidRDefault="003B3F92" w:rsidP="003B3F92">
      <w:pPr>
        <w:rPr>
          <w:rFonts w:cstheme="minorHAnsi"/>
          <w:sz w:val="24"/>
          <w:szCs w:val="24"/>
          <w:lang w:val="ro-RO"/>
        </w:rPr>
      </w:pPr>
    </w:p>
    <w:p w14:paraId="1D93FAA2" w14:textId="77777777" w:rsidR="003B3F92" w:rsidRDefault="003B3F92" w:rsidP="003B3F92">
      <w:pPr>
        <w:rPr>
          <w:rFonts w:cstheme="minorHAnsi"/>
          <w:sz w:val="24"/>
          <w:szCs w:val="24"/>
          <w:lang w:val="ro-RO"/>
        </w:rPr>
      </w:pPr>
      <w:r>
        <w:rPr>
          <w:rFonts w:cstheme="minorHAnsi"/>
          <w:sz w:val="24"/>
          <w:szCs w:val="24"/>
          <w:lang w:val="ro-RO"/>
        </w:rPr>
        <w:tab/>
      </w:r>
    </w:p>
    <w:p w14:paraId="6DA47FCF" w14:textId="77777777" w:rsidR="00723537" w:rsidRPr="00D001AC" w:rsidRDefault="00723537">
      <w:pPr>
        <w:rPr>
          <w:lang w:val="fr-FR"/>
        </w:rPr>
      </w:pPr>
    </w:p>
    <w:sectPr w:rsidR="00723537" w:rsidRPr="00D001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C2AC" w14:textId="77777777" w:rsidR="000C6DDC" w:rsidRDefault="000C6DDC" w:rsidP="003B3F92">
      <w:pPr>
        <w:spacing w:after="0" w:line="240" w:lineRule="auto"/>
      </w:pPr>
      <w:r>
        <w:separator/>
      </w:r>
    </w:p>
  </w:endnote>
  <w:endnote w:type="continuationSeparator" w:id="0">
    <w:p w14:paraId="6D8BC77B" w14:textId="77777777" w:rsidR="000C6DDC" w:rsidRDefault="000C6DDC" w:rsidP="003B3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B264" w14:textId="77777777" w:rsidR="000C6DDC" w:rsidRDefault="000C6DDC" w:rsidP="003B3F92">
      <w:pPr>
        <w:spacing w:after="0" w:line="240" w:lineRule="auto"/>
      </w:pPr>
      <w:r>
        <w:separator/>
      </w:r>
    </w:p>
  </w:footnote>
  <w:footnote w:type="continuationSeparator" w:id="0">
    <w:p w14:paraId="195D25CF" w14:textId="77777777" w:rsidR="000C6DDC" w:rsidRDefault="000C6DDC" w:rsidP="003B3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03612B"/>
    <w:multiLevelType w:val="hybridMultilevel"/>
    <w:tmpl w:val="0C64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B01"/>
    <w:rsid w:val="000A78B3"/>
    <w:rsid w:val="000B0054"/>
    <w:rsid w:val="000C6DDC"/>
    <w:rsid w:val="00135304"/>
    <w:rsid w:val="00166A8F"/>
    <w:rsid w:val="001F3A9F"/>
    <w:rsid w:val="003B3F92"/>
    <w:rsid w:val="003C2C64"/>
    <w:rsid w:val="00460A35"/>
    <w:rsid w:val="005B2962"/>
    <w:rsid w:val="0066667F"/>
    <w:rsid w:val="006A0E5F"/>
    <w:rsid w:val="006C5B8C"/>
    <w:rsid w:val="006C6064"/>
    <w:rsid w:val="00723537"/>
    <w:rsid w:val="007C6291"/>
    <w:rsid w:val="00820638"/>
    <w:rsid w:val="00830996"/>
    <w:rsid w:val="00985B6A"/>
    <w:rsid w:val="00A12E5A"/>
    <w:rsid w:val="00A21025"/>
    <w:rsid w:val="00A3233E"/>
    <w:rsid w:val="00A47A9A"/>
    <w:rsid w:val="00A82F5D"/>
    <w:rsid w:val="00AB479D"/>
    <w:rsid w:val="00AE26FD"/>
    <w:rsid w:val="00B802D7"/>
    <w:rsid w:val="00BA7610"/>
    <w:rsid w:val="00C410F4"/>
    <w:rsid w:val="00C74B01"/>
    <w:rsid w:val="00D001AC"/>
    <w:rsid w:val="00D1519B"/>
    <w:rsid w:val="00D51AA5"/>
    <w:rsid w:val="00DD0D1F"/>
    <w:rsid w:val="00E331C1"/>
    <w:rsid w:val="00E71EC9"/>
    <w:rsid w:val="00F33326"/>
    <w:rsid w:val="00FC2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8659D"/>
  <w15:chartTrackingRefBased/>
  <w15:docId w15:val="{577B6BCC-FB6B-4067-BE2B-F0AA7EE0A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F92"/>
    <w:pPr>
      <w:spacing w:line="256" w:lineRule="auto"/>
    </w:pPr>
    <w:rPr>
      <w:lang w:val="en-US"/>
    </w:rPr>
  </w:style>
  <w:style w:type="paragraph" w:styleId="Heading1">
    <w:name w:val="heading 1"/>
    <w:basedOn w:val="Normal"/>
    <w:next w:val="Normal"/>
    <w:link w:val="Heading1Char"/>
    <w:qFormat/>
    <w:rsid w:val="003B3F92"/>
    <w:pPr>
      <w:keepNext/>
      <w:keepLines/>
      <w:tabs>
        <w:tab w:val="right" w:pos="8640"/>
      </w:tabs>
      <w:spacing w:before="240" w:after="0" w:line="240" w:lineRule="auto"/>
      <w:jc w:val="center"/>
      <w:outlineLvl w:val="0"/>
    </w:pPr>
    <w:rPr>
      <w:rFonts w:asciiTheme="majorHAnsi" w:eastAsiaTheme="majorEastAsia" w:hAnsiTheme="majorHAnsi" w:cstheme="majorBidi"/>
      <w:b/>
      <w:spacing w:val="-2"/>
      <w:sz w:val="32"/>
      <w:szCs w:val="32"/>
      <w:lang w:val="ro-RO"/>
    </w:rPr>
  </w:style>
  <w:style w:type="paragraph" w:styleId="Heading2">
    <w:name w:val="heading 2"/>
    <w:basedOn w:val="Normal"/>
    <w:next w:val="Normal"/>
    <w:link w:val="Heading2Char"/>
    <w:semiHidden/>
    <w:unhideWhenUsed/>
    <w:qFormat/>
    <w:rsid w:val="003B3F92"/>
    <w:pPr>
      <w:keepNext/>
      <w:keepLines/>
      <w:tabs>
        <w:tab w:val="right" w:pos="8640"/>
      </w:tabs>
      <w:spacing w:before="40" w:after="0" w:line="240" w:lineRule="auto"/>
      <w:jc w:val="both"/>
      <w:outlineLvl w:val="1"/>
    </w:pPr>
    <w:rPr>
      <w:rFonts w:eastAsiaTheme="majorEastAsia" w:cstheme="majorBidi"/>
      <w:b/>
      <w:spacing w:val="-2"/>
      <w:sz w:val="24"/>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3F92"/>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3B3F92"/>
  </w:style>
  <w:style w:type="paragraph" w:styleId="Footer">
    <w:name w:val="footer"/>
    <w:basedOn w:val="Normal"/>
    <w:link w:val="FooterChar"/>
    <w:uiPriority w:val="99"/>
    <w:unhideWhenUsed/>
    <w:rsid w:val="003B3F92"/>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3B3F92"/>
  </w:style>
  <w:style w:type="character" w:customStyle="1" w:styleId="Heading1Char">
    <w:name w:val="Heading 1 Char"/>
    <w:basedOn w:val="DefaultParagraphFont"/>
    <w:link w:val="Heading1"/>
    <w:rsid w:val="003B3F92"/>
    <w:rPr>
      <w:rFonts w:asciiTheme="majorHAnsi" w:eastAsiaTheme="majorEastAsia" w:hAnsiTheme="majorHAnsi" w:cstheme="majorBidi"/>
      <w:b/>
      <w:spacing w:val="-2"/>
      <w:sz w:val="32"/>
      <w:szCs w:val="32"/>
      <w:lang w:val="ro-RO"/>
    </w:rPr>
  </w:style>
  <w:style w:type="character" w:customStyle="1" w:styleId="Heading2Char">
    <w:name w:val="Heading 2 Char"/>
    <w:basedOn w:val="DefaultParagraphFont"/>
    <w:link w:val="Heading2"/>
    <w:semiHidden/>
    <w:rsid w:val="003B3F92"/>
    <w:rPr>
      <w:rFonts w:eastAsiaTheme="majorEastAsia" w:cstheme="majorBidi"/>
      <w:b/>
      <w:spacing w:val="-2"/>
      <w:sz w:val="24"/>
      <w:szCs w:val="26"/>
      <w:lang w:val="ro-RO"/>
    </w:rPr>
  </w:style>
  <w:style w:type="paragraph" w:styleId="ListParagraph">
    <w:name w:val="List Paragraph"/>
    <w:basedOn w:val="Normal"/>
    <w:uiPriority w:val="34"/>
    <w:qFormat/>
    <w:rsid w:val="00D51A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92366">
      <w:bodyDiv w:val="1"/>
      <w:marLeft w:val="0"/>
      <w:marRight w:val="0"/>
      <w:marTop w:val="0"/>
      <w:marBottom w:val="0"/>
      <w:divBdr>
        <w:top w:val="none" w:sz="0" w:space="0" w:color="auto"/>
        <w:left w:val="none" w:sz="0" w:space="0" w:color="auto"/>
        <w:bottom w:val="none" w:sz="0" w:space="0" w:color="auto"/>
        <w:right w:val="none" w:sz="0" w:space="0" w:color="auto"/>
      </w:divBdr>
    </w:div>
    <w:div w:id="53866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1888</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2025-11-11T08:24:00Z</dcterms:created>
  <dcterms:modified xsi:type="dcterms:W3CDTF">2025-11-11T08:24:00Z</dcterms:modified>
</cp:coreProperties>
</file>